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DBDF2" w14:textId="7F35F4B4" w:rsidR="00BF51B7" w:rsidRPr="00D4781E" w:rsidRDefault="00FF770A">
      <w:pPr>
        <w:rPr>
          <w:b/>
          <w:bCs/>
        </w:rPr>
      </w:pPr>
      <w:r w:rsidRPr="00D4781E">
        <w:rPr>
          <w:b/>
          <w:bCs/>
        </w:rPr>
        <w:t>Kingsway 15 Oct 26 – Meeting Notes</w:t>
      </w:r>
    </w:p>
    <w:p w14:paraId="4C8E34C0" w14:textId="7CE337A7" w:rsidR="00F33C6C" w:rsidRDefault="00F33C6C">
      <w:r>
        <w:t>David Vernon – Kingsway PM</w:t>
      </w:r>
    </w:p>
    <w:p w14:paraId="7284E989" w14:textId="7F0D4636" w:rsidR="00F33C6C" w:rsidRDefault="00F33C6C">
      <w:r>
        <w:t>Bridget Durham – Vice Chair WCPC</w:t>
      </w:r>
    </w:p>
    <w:p w14:paraId="5D14471E" w14:textId="6AF47D90" w:rsidR="00F33C6C" w:rsidRDefault="00F33C6C">
      <w:r>
        <w:t>John Garrod WCPC</w:t>
      </w:r>
    </w:p>
    <w:p w14:paraId="53BF9B88" w14:textId="43A55FC0" w:rsidR="00F33C6C" w:rsidRDefault="00F33C6C">
      <w:r>
        <w:t>Matt Russell WCPC</w:t>
      </w:r>
    </w:p>
    <w:p w14:paraId="3A895B88" w14:textId="53C1B081" w:rsidR="00F33C6C" w:rsidRDefault="00F33C6C">
      <w:r>
        <w:t>Rachael Jennings WCPC</w:t>
      </w:r>
    </w:p>
    <w:p w14:paraId="52364874" w14:textId="36D3BDEB" w:rsidR="00F33C6C" w:rsidRDefault="00F33C6C">
      <w:r>
        <w:t>Constantine Pagoni WCPC</w:t>
      </w:r>
    </w:p>
    <w:p w14:paraId="59058083" w14:textId="1C9504A4" w:rsidR="00F33C6C" w:rsidRDefault="00F33C6C">
      <w:r>
        <w:t>Ray Vidler – Chair WCPC &amp; Emma Raynor WCPC sent their apologies</w:t>
      </w:r>
      <w:r w:rsidR="00A36784">
        <w:t>, as did Jess Ashbridge</w:t>
      </w:r>
    </w:p>
    <w:p w14:paraId="4125BF3B" w14:textId="77777777" w:rsidR="00FF770A" w:rsidRDefault="00FF770A"/>
    <w:p w14:paraId="7D9A9527" w14:textId="77777777" w:rsidR="00F33C6C" w:rsidRDefault="00FF770A">
      <w:r>
        <w:t xml:space="preserve">Weston Colville PC met with David Vernon from Kingsway on 15 Oct 25. It was an opportunity for Kingsway to brief PC members on the position of the solar project, ask questions &amp; raise issue with the PM prior to formulating their response to the statutory consultation. </w:t>
      </w:r>
    </w:p>
    <w:p w14:paraId="0193221A" w14:textId="0E435780" w:rsidR="00F33C6C" w:rsidRDefault="00F33C6C">
      <w:r>
        <w:t>MR &amp; CP had not attended any of the public consultations – the remainder of the group had.</w:t>
      </w:r>
    </w:p>
    <w:p w14:paraId="0286E8AC" w14:textId="2838FEB4" w:rsidR="00F33C6C" w:rsidRDefault="00F33C6C">
      <w:r>
        <w:t xml:space="preserve">DV confirmed that now new information was available – he was here to reiterate what had been published already, and </w:t>
      </w:r>
      <w:r w:rsidR="00A36784">
        <w:t xml:space="preserve">any </w:t>
      </w:r>
      <w:r>
        <w:t xml:space="preserve">answer questions </w:t>
      </w:r>
      <w:r w:rsidR="00A36784">
        <w:t>specific to the PC.</w:t>
      </w:r>
    </w:p>
    <w:p w14:paraId="0739B6C1" w14:textId="334E44CF" w:rsidR="00A36784" w:rsidRDefault="00A36784">
      <w:r>
        <w:t>DV agreed to send an electronic copy of the presentation to Jess for distribution to PC members.</w:t>
      </w:r>
    </w:p>
    <w:p w14:paraId="45A3A7A3" w14:textId="4CC944A4" w:rsidR="00A36784" w:rsidRDefault="00A36784">
      <w:r>
        <w:t>CP</w:t>
      </w:r>
      <w:r w:rsidR="00D72828">
        <w:t xml:space="preserve"> asked </w:t>
      </w:r>
      <w:r>
        <w:t xml:space="preserve">DV </w:t>
      </w:r>
      <w:r w:rsidR="00D72828">
        <w:t xml:space="preserve">to </w:t>
      </w:r>
      <w:r>
        <w:t>set out his position within Downing LLP, the parent Company for Kingsway, and explained some of his personal background. He has 22 years in the major projects industry, working on roads, road, nuclear power both for developers &amp; government</w:t>
      </w:r>
      <w:r w:rsidR="00666A2C">
        <w:t xml:space="preserve">. DV was using his experience &amp; understanding of the planning law to de-risk the project. </w:t>
      </w:r>
    </w:p>
    <w:p w14:paraId="5451D5ED" w14:textId="5C962A68" w:rsidR="00D72828" w:rsidRDefault="00D72828">
      <w:r>
        <w:t xml:space="preserve">The planning process was outlined – where the application, anticipated next March, would be submitted to the Planning Inspectorate as the Examining Authority. It would be their recommendation that eventually passed to the SoS for the final decision. </w:t>
      </w:r>
    </w:p>
    <w:p w14:paraId="1143994A" w14:textId="6AE45003" w:rsidR="00D72828" w:rsidRDefault="00D72828">
      <w:r>
        <w:t>PC would be notified at each stage, but expect a lot of back &amp; forth, taking anything up to 6 months</w:t>
      </w:r>
    </w:p>
    <w:p w14:paraId="06511EDA" w14:textId="77777777" w:rsidR="00D72828" w:rsidRDefault="00D72828" w:rsidP="00D72828">
      <w:r>
        <w:t>BD asked if construction would be delayed by inadequacy of the National Grid – answer No. Kingsway were signed up to generate 500mw per year by 2033, and if the National Grid was unable to accept that power by that time, the National Grid (bill payers) would pay penalties</w:t>
      </w:r>
    </w:p>
    <w:p w14:paraId="3B03A62C" w14:textId="72A24531" w:rsidR="00D72828" w:rsidRDefault="00D72828">
      <w:r>
        <w:t>All NSIPs past a certain stage were on the PI website list already.</w:t>
      </w:r>
    </w:p>
    <w:p w14:paraId="179111DE" w14:textId="0A154F91" w:rsidR="00D72828" w:rsidRDefault="00D72828">
      <w:r>
        <w:t xml:space="preserve">JG queried if the PI was as independent as claimed, due to their being </w:t>
      </w:r>
      <w:proofErr w:type="spellStart"/>
      <w:r>
        <w:t>gvt</w:t>
      </w:r>
      <w:proofErr w:type="spellEnd"/>
      <w:r>
        <w:t xml:space="preserve"> employees. </w:t>
      </w:r>
      <w:r w:rsidR="00750536">
        <w:t>Answer – that’s the process.</w:t>
      </w:r>
    </w:p>
    <w:p w14:paraId="30C4C904" w14:textId="431DCC70" w:rsidR="00FF770A" w:rsidRDefault="00D26F8A">
      <w:r>
        <w:t>Other m</w:t>
      </w:r>
      <w:r w:rsidR="00F33C6C">
        <w:t xml:space="preserve">atters </w:t>
      </w:r>
      <w:r w:rsidR="00FF770A">
        <w:t>discussed were</w:t>
      </w:r>
      <w:r w:rsidR="00A36784">
        <w:t>:</w:t>
      </w:r>
    </w:p>
    <w:p w14:paraId="56913E2E" w14:textId="0D368AA9" w:rsidR="00A36784" w:rsidRPr="00D4781E" w:rsidRDefault="00A36784">
      <w:pPr>
        <w:rPr>
          <w:b/>
          <w:bCs/>
        </w:rPr>
      </w:pPr>
      <w:r w:rsidRPr="00D4781E">
        <w:rPr>
          <w:b/>
          <w:bCs/>
        </w:rPr>
        <w:t xml:space="preserve">Land Use </w:t>
      </w:r>
    </w:p>
    <w:p w14:paraId="715E6691" w14:textId="1490C295" w:rsidR="00A36784" w:rsidRDefault="00A36784">
      <w:r>
        <w:t>DV explained that panelled areas were designed in such a way as to limit the use of the highest grade of agricultural lands within the field concerned</w:t>
      </w:r>
    </w:p>
    <w:p w14:paraId="30F94B67" w14:textId="5C38E1AD" w:rsidR="00A36784" w:rsidRDefault="00A36784">
      <w:r>
        <w:lastRenderedPageBreak/>
        <w:t>Area C6 was discussed at length. DV confirmed it had been raised by the majority of those attending the WC consultation on 2 Oct. He further confirmed it was being looked at, but that the panels could not be simply moved to Area A</w:t>
      </w:r>
      <w:r w:rsidR="00666A2C">
        <w:t>1</w:t>
      </w:r>
      <w:r>
        <w:t xml:space="preserve"> near the A11 due to </w:t>
      </w:r>
      <w:r w:rsidR="00666A2C">
        <w:t xml:space="preserve">archaeological interests the English Heritage were unlikely to want disturbed. </w:t>
      </w:r>
    </w:p>
    <w:p w14:paraId="34BF59E5" w14:textId="7BB9E087" w:rsidR="00666A2C" w:rsidRDefault="00666A2C">
      <w:r>
        <w:t xml:space="preserve">B1&amp;2 were looked at </w:t>
      </w:r>
      <w:r w:rsidR="00D06BC3">
        <w:t>-</w:t>
      </w:r>
      <w:r>
        <w:t xml:space="preserve"> where the wind turbines already are. B2 is currently designated as e</w:t>
      </w:r>
      <w:r w:rsidR="00D06BC3">
        <w:t>c</w:t>
      </w:r>
      <w:r>
        <w:t>o</w:t>
      </w:r>
      <w:r w:rsidR="00D06BC3">
        <w:t>logical</w:t>
      </w:r>
      <w:r>
        <w:t xml:space="preserve"> &amp; landscape enhancement area. We argued that, as the land had already been taken for turbines, it would seem reasonable for panels to go under those turbines, as in B1. Residents in Balsham had disagreed. </w:t>
      </w:r>
    </w:p>
    <w:p w14:paraId="456AA431" w14:textId="20523EDF" w:rsidR="00666A2C" w:rsidRDefault="00666A2C">
      <w:r>
        <w:t xml:space="preserve">It is noted that only 35% of the total land take of A, B &amp; C will be under panels &amp; associated infrastructure – which seemed an inefficient use of the land. </w:t>
      </w:r>
    </w:p>
    <w:p w14:paraId="3C46A888" w14:textId="718C16E0" w:rsidR="00D72828" w:rsidRDefault="00D72828">
      <w:r>
        <w:t>Areas A &amp; B were insufficient acreage to provide the 500mw required for NSIP status &amp; the amount of mitigation required. The differing characteristics of the land meant more was required to provide sufficient suitable for panels</w:t>
      </w:r>
    </w:p>
    <w:p w14:paraId="60AC9FA6" w14:textId="086085F2" w:rsidR="00D72828" w:rsidRDefault="00D72828">
      <w:r>
        <w:t xml:space="preserve">DV confirmed there was no Area D or E ‘up his sleeve’ </w:t>
      </w:r>
    </w:p>
    <w:p w14:paraId="62991BFC" w14:textId="2B8CAE45" w:rsidR="00750536" w:rsidRDefault="00750536">
      <w:r>
        <w:t>DV said that unused high grade agricultural land could potentially still be farmed. We doubted this…</w:t>
      </w:r>
    </w:p>
    <w:p w14:paraId="64FC7D49" w14:textId="4CBA61A8" w:rsidR="00D26F8A" w:rsidRPr="00D26F8A" w:rsidRDefault="00D26F8A">
      <w:pPr>
        <w:rPr>
          <w:b/>
          <w:bCs/>
        </w:rPr>
      </w:pPr>
      <w:r w:rsidRPr="00D26F8A">
        <w:rPr>
          <w:b/>
          <w:bCs/>
        </w:rPr>
        <w:t>Ecological &amp; Heritage Impact</w:t>
      </w:r>
    </w:p>
    <w:p w14:paraId="49442628" w14:textId="1FDB7411" w:rsidR="00D26F8A" w:rsidRDefault="00D26F8A" w:rsidP="00D26F8A">
      <w:r>
        <w:t xml:space="preserve">Cultural Heritage, ground nesting birds, hydrology, topography etc. had further directed the design of panel placement. DV explained there was a hierarchy of protected things under current planning law and people &amp; property were way down the list. </w:t>
      </w:r>
      <w:r w:rsidR="001D41BD">
        <w:t xml:space="preserve">BD queried the placement of the BESS on a protected zone for the water abstraction point at Lark Hall Heath Farm. DV said this was being actively investigated by hydrological specialists. </w:t>
      </w:r>
    </w:p>
    <w:p w14:paraId="550C05B7" w14:textId="77777777" w:rsidR="00D26F8A" w:rsidRDefault="00D26F8A"/>
    <w:p w14:paraId="2AD6DCC1" w14:textId="073B6F32" w:rsidR="00750536" w:rsidRPr="00D4781E" w:rsidRDefault="00750536">
      <w:pPr>
        <w:rPr>
          <w:b/>
          <w:bCs/>
        </w:rPr>
      </w:pPr>
      <w:r w:rsidRPr="00D4781E">
        <w:rPr>
          <w:b/>
          <w:bCs/>
        </w:rPr>
        <w:t>Flooding</w:t>
      </w:r>
    </w:p>
    <w:p w14:paraId="529EAF52" w14:textId="12E52C36" w:rsidR="00750536" w:rsidRDefault="00750536">
      <w:r>
        <w:t>JG queried parcel C5, opposite Mines Farm, roughly, as Chapel Road regularly floods. DV saw no risk but had hydrologists looking at the area. He added that they were not here to solve existing drainage issues. EA maps were being consulted. If panels exacerbate the problems, then an onsite team would be available to deal with it. A Community Liaison Officer would also be appointed to enhance communications with residents.</w:t>
      </w:r>
    </w:p>
    <w:p w14:paraId="4C0F8EF7" w14:textId="3848484B" w:rsidR="007B2318" w:rsidRPr="00D4781E" w:rsidRDefault="007B2318">
      <w:pPr>
        <w:rPr>
          <w:b/>
          <w:bCs/>
        </w:rPr>
      </w:pPr>
      <w:r w:rsidRPr="00D4781E">
        <w:rPr>
          <w:b/>
          <w:bCs/>
        </w:rPr>
        <w:t>Food Security</w:t>
      </w:r>
    </w:p>
    <w:p w14:paraId="4BC424EE" w14:textId="626070D8" w:rsidR="007B2318" w:rsidRDefault="007B2318">
      <w:r>
        <w:t xml:space="preserve">BD &amp; JG both asked about this – answer – </w:t>
      </w:r>
      <w:proofErr w:type="spellStart"/>
      <w:r>
        <w:t>gvt</w:t>
      </w:r>
      <w:proofErr w:type="spellEnd"/>
      <w:r>
        <w:t xml:space="preserve"> policy placed ‘green’ energy as a higher priority, in that climate change was a bigger risk to agriculture than land based solar projects. DV is working with that policy</w:t>
      </w:r>
    </w:p>
    <w:p w14:paraId="354E818E" w14:textId="01ED0534" w:rsidR="007B2318" w:rsidRPr="00D4781E" w:rsidRDefault="007B2318">
      <w:pPr>
        <w:rPr>
          <w:b/>
          <w:bCs/>
        </w:rPr>
      </w:pPr>
      <w:r w:rsidRPr="00D4781E">
        <w:rPr>
          <w:b/>
          <w:bCs/>
        </w:rPr>
        <w:t>Compulsory Purchase Powers</w:t>
      </w:r>
    </w:p>
    <w:p w14:paraId="381E8E68" w14:textId="50DEE7A4" w:rsidR="007B2318" w:rsidRDefault="007B2318">
      <w:r>
        <w:t xml:space="preserve">DV reiterated that CPO powers came with the granting of permission for the development, but they would limit their use to the inter array areas only, and then only if voluntary agreements with landowners could not be reached. </w:t>
      </w:r>
      <w:r w:rsidR="008045D6">
        <w:t xml:space="preserve">RJ raised the issue of consultation with those landowners who felt ignored. Answer – we only consult when we have a final plan in mind. Pointless contacting them if their land was not in the end needed. Same applied for the whole of the connection corridor up to Burwell. We did not agree with this policy. In relation to a haul </w:t>
      </w:r>
      <w:r w:rsidR="008045D6">
        <w:lastRenderedPageBreak/>
        <w:t xml:space="preserve">track beside Brook Lane, on Kaye’s land, the message at the consultation on 2 Oct had been high handed at least, but if land were used for this purpose, then it had to be returned to the landowner in the same state as it was taken, and compensation paid. </w:t>
      </w:r>
    </w:p>
    <w:p w14:paraId="75B4BE25" w14:textId="1C633C99" w:rsidR="008045D6" w:rsidRPr="00D4781E" w:rsidRDefault="008045D6">
      <w:pPr>
        <w:rPr>
          <w:b/>
          <w:bCs/>
        </w:rPr>
      </w:pPr>
      <w:r w:rsidRPr="00D4781E">
        <w:rPr>
          <w:b/>
          <w:bCs/>
        </w:rPr>
        <w:t>Transport Plan</w:t>
      </w:r>
    </w:p>
    <w:p w14:paraId="15D9DF0F" w14:textId="100CA9BE" w:rsidR="008045D6" w:rsidRDefault="008045D6">
      <w:r>
        <w:t xml:space="preserve">BD queried the plan as our roads are narrow, and very busy during harvest time. This was tied into their planned operating hours of 7-7, and 7-1 Saturdays. DV said the transport plan would take this into account, </w:t>
      </w:r>
      <w:r w:rsidR="000E7F41">
        <w:t>avoid</w:t>
      </w:r>
      <w:r>
        <w:t xml:space="preserve"> school open/close times, and be a </w:t>
      </w:r>
      <w:r w:rsidR="00D06BC3">
        <w:t>one-way</w:t>
      </w:r>
      <w:r>
        <w:t xml:space="preserve"> system. Laybys, new accesses to the highway</w:t>
      </w:r>
      <w:r w:rsidR="00D06BC3">
        <w:t>s</w:t>
      </w:r>
      <w:r>
        <w:t>, passing places etc. might need to be constructed but would be put out for consultation if/when determined in the final plan.</w:t>
      </w:r>
    </w:p>
    <w:p w14:paraId="211BB89C" w14:textId="11A31E21" w:rsidR="00D06BC3" w:rsidRPr="00D26F8A" w:rsidRDefault="00D06BC3">
      <w:pPr>
        <w:rPr>
          <w:b/>
          <w:bCs/>
        </w:rPr>
      </w:pPr>
      <w:r w:rsidRPr="00D26F8A">
        <w:rPr>
          <w:b/>
          <w:bCs/>
        </w:rPr>
        <w:t>Light Pollution</w:t>
      </w:r>
    </w:p>
    <w:p w14:paraId="358379D2" w14:textId="747512BA" w:rsidR="00D06BC3" w:rsidRDefault="00D06BC3">
      <w:r>
        <w:t xml:space="preserve">BD queried </w:t>
      </w:r>
      <w:r w:rsidR="00D26F8A">
        <w:t xml:space="preserve">the lighting that would be installed. Answer – TBD. Only certain areas would be covered by CCTV and motion activated lights, but the plan had yet to be drawn up. BD emphasised that the dark skies were important to the residents of WC and should be preserved. </w:t>
      </w:r>
    </w:p>
    <w:p w14:paraId="55F9869C" w14:textId="32836BA8" w:rsidR="00D26F8A" w:rsidRPr="00D26F8A" w:rsidRDefault="00D26F8A">
      <w:pPr>
        <w:rPr>
          <w:b/>
          <w:bCs/>
        </w:rPr>
      </w:pPr>
      <w:r w:rsidRPr="00D26F8A">
        <w:rPr>
          <w:b/>
          <w:bCs/>
        </w:rPr>
        <w:t>Noise Pollution</w:t>
      </w:r>
    </w:p>
    <w:p w14:paraId="203BB742" w14:textId="159234D8" w:rsidR="00D26F8A" w:rsidRDefault="00D26F8A">
      <w:r>
        <w:t xml:space="preserve">BD queried noise levels both during construction/decommissioning and general running. The answer only addressed general running which would be closely monitored, and the decibels published. The main areas where noise would be generated would be the 2 x 132kv substations, the BESS and the invertors at the end of each &amp; every row of panels. DV claimed they hum only during foggy conditions, due to moisture ingress. </w:t>
      </w:r>
    </w:p>
    <w:p w14:paraId="4BD92C2B" w14:textId="15A16D98" w:rsidR="00D26F8A" w:rsidRPr="00D33F1A" w:rsidRDefault="00D26F8A">
      <w:pPr>
        <w:rPr>
          <w:b/>
          <w:bCs/>
        </w:rPr>
      </w:pPr>
      <w:r w:rsidRPr="00D33F1A">
        <w:rPr>
          <w:b/>
          <w:bCs/>
        </w:rPr>
        <w:t>Public Rights of Way</w:t>
      </w:r>
    </w:p>
    <w:p w14:paraId="38137D30" w14:textId="756AAA93" w:rsidR="00D26F8A" w:rsidRDefault="00D26F8A">
      <w:r>
        <w:t xml:space="preserve">BD highlighted the importance of the </w:t>
      </w:r>
      <w:proofErr w:type="spellStart"/>
      <w:r>
        <w:t>PRoW</w:t>
      </w:r>
      <w:proofErr w:type="spellEnd"/>
      <w:r>
        <w:t xml:space="preserve"> especially in Area C6 which would be severely impacted. The green lanes, byways, bridgeways and footpaths are all well &amp; regularly used by walkers, dog walkers &amp; horse riders alike, and were a vital connecting network </w:t>
      </w:r>
      <w:r w:rsidR="00D33F1A">
        <w:t xml:space="preserve">between parishes. One, was due for permanent closure. BD requested again the reconsideration of Area C6. </w:t>
      </w:r>
    </w:p>
    <w:p w14:paraId="6F379BEB" w14:textId="5A95427F" w:rsidR="00D33F1A" w:rsidRPr="00D33F1A" w:rsidRDefault="00D33F1A">
      <w:pPr>
        <w:rPr>
          <w:b/>
          <w:bCs/>
        </w:rPr>
      </w:pPr>
      <w:r w:rsidRPr="00D33F1A">
        <w:rPr>
          <w:b/>
          <w:bCs/>
        </w:rPr>
        <w:t>Listed Buildings</w:t>
      </w:r>
    </w:p>
    <w:p w14:paraId="434B12A2" w14:textId="340D791D" w:rsidR="00D33F1A" w:rsidRDefault="00D33F1A">
      <w:r>
        <w:t xml:space="preserve">BD raised the issue of panels, and a substation withing the wider curtilage of listed buildings in the parish – namely the parish church, and Weston Colville Hall. More consideration of these building should be applied, to minimise the impact on them. </w:t>
      </w:r>
    </w:p>
    <w:p w14:paraId="123A0762" w14:textId="77777777" w:rsidR="00D33F1A" w:rsidRDefault="00D33F1A"/>
    <w:p w14:paraId="66155A5F" w14:textId="43EC9E92" w:rsidR="00666A2C" w:rsidRPr="009B5DFF" w:rsidRDefault="00D33F1A">
      <w:pPr>
        <w:rPr>
          <w:b/>
          <w:bCs/>
        </w:rPr>
      </w:pPr>
      <w:r w:rsidRPr="009B5DFF">
        <w:rPr>
          <w:b/>
          <w:bCs/>
        </w:rPr>
        <w:t>Community Benefit Fund</w:t>
      </w:r>
    </w:p>
    <w:p w14:paraId="33A6D0AA" w14:textId="5D2E3970" w:rsidR="00FF770A" w:rsidRDefault="00D33F1A" w:rsidP="009B5DFF">
      <w:r>
        <w:t xml:space="preserve">BD queried whether there would be any, and if we could influence how it was distributed. DV answered yes, and yes. He added that it would be a voluntary pot, as the </w:t>
      </w:r>
      <w:proofErr w:type="spellStart"/>
      <w:r>
        <w:t>gvt</w:t>
      </w:r>
      <w:proofErr w:type="spellEnd"/>
      <w:r>
        <w:t xml:space="preserve"> did not require it at this time. It would be </w:t>
      </w:r>
      <w:proofErr w:type="spellStart"/>
      <w:r>
        <w:t>iro</w:t>
      </w:r>
      <w:proofErr w:type="spellEnd"/>
      <w:r>
        <w:t xml:space="preserve"> £300,000 per year for 40 years. BD pointed out that we struggled to find sufficient project to spend the funds arising from the wind farm, which were considerably less. The Kingsway pot would encompass a far wider area, and include those affected by the transmission route into Burwell. DV would negotiate with PCs individually as to their needs</w:t>
      </w:r>
      <w:r w:rsidR="00CB43FD">
        <w:t xml:space="preserve">, </w:t>
      </w:r>
      <w:r w:rsidR="009B5DFF">
        <w:t xml:space="preserve">or other local authorities, SCDC or CCC </w:t>
      </w:r>
      <w:r w:rsidR="00CB43FD">
        <w:t>rather than hand funds to something like CCF</w:t>
      </w:r>
      <w:r w:rsidR="009B5DFF">
        <w:t>.</w:t>
      </w:r>
    </w:p>
    <w:p w14:paraId="29F1A409" w14:textId="77777777" w:rsidR="00FF770A" w:rsidRDefault="00FF770A"/>
    <w:sectPr w:rsidR="00FF770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F0F94" w14:textId="77777777" w:rsidR="00891AA0" w:rsidRDefault="00891AA0" w:rsidP="00EF45FA">
      <w:pPr>
        <w:spacing w:after="0" w:line="240" w:lineRule="auto"/>
      </w:pPr>
      <w:r>
        <w:separator/>
      </w:r>
    </w:p>
  </w:endnote>
  <w:endnote w:type="continuationSeparator" w:id="0">
    <w:p w14:paraId="5A780A23" w14:textId="77777777" w:rsidR="00891AA0" w:rsidRDefault="00891AA0" w:rsidP="00EF4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26F7D" w14:textId="77777777" w:rsidR="00666A2C" w:rsidRDefault="00666A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991B7" w14:textId="145EE12A" w:rsidR="00666A2C" w:rsidRDefault="00666A2C" w:rsidP="009B5D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0847" w14:textId="77777777" w:rsidR="00666A2C" w:rsidRDefault="00666A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30798" w14:textId="77777777" w:rsidR="00891AA0" w:rsidRDefault="00891AA0" w:rsidP="00EF45FA">
      <w:pPr>
        <w:spacing w:after="0" w:line="240" w:lineRule="auto"/>
      </w:pPr>
      <w:r>
        <w:separator/>
      </w:r>
    </w:p>
  </w:footnote>
  <w:footnote w:type="continuationSeparator" w:id="0">
    <w:p w14:paraId="098776CC" w14:textId="77777777" w:rsidR="00891AA0" w:rsidRDefault="00891AA0" w:rsidP="00EF45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E2CA" w14:textId="77777777" w:rsidR="00666A2C" w:rsidRDefault="00666A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9C488" w14:textId="6217A416" w:rsidR="00666A2C" w:rsidRDefault="00666A2C" w:rsidP="009B5D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1CF43" w14:textId="77777777" w:rsidR="00666A2C" w:rsidRDefault="00666A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5FA"/>
    <w:rsid w:val="000E7F41"/>
    <w:rsid w:val="000F5CF1"/>
    <w:rsid w:val="001D41BD"/>
    <w:rsid w:val="001E4755"/>
    <w:rsid w:val="002A378B"/>
    <w:rsid w:val="003B65EB"/>
    <w:rsid w:val="005511E2"/>
    <w:rsid w:val="00666A2C"/>
    <w:rsid w:val="00750536"/>
    <w:rsid w:val="007B2318"/>
    <w:rsid w:val="008045D6"/>
    <w:rsid w:val="00891AA0"/>
    <w:rsid w:val="009B5DFF"/>
    <w:rsid w:val="00A36784"/>
    <w:rsid w:val="00BF51B7"/>
    <w:rsid w:val="00C52800"/>
    <w:rsid w:val="00CB43FD"/>
    <w:rsid w:val="00CD3A1C"/>
    <w:rsid w:val="00D06BC3"/>
    <w:rsid w:val="00D26F8A"/>
    <w:rsid w:val="00D33F1A"/>
    <w:rsid w:val="00D4781E"/>
    <w:rsid w:val="00D72828"/>
    <w:rsid w:val="00E9656F"/>
    <w:rsid w:val="00EF45FA"/>
    <w:rsid w:val="00F33C6C"/>
    <w:rsid w:val="00FF770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5310A"/>
  <w15:chartTrackingRefBased/>
  <w15:docId w15:val="{07977644-1B3A-4669-9B33-1EFF46F18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45F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F45F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F45F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F45F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F45F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F45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45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45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45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5F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F45F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F45F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F45F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F45F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F45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5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5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5FA"/>
    <w:rPr>
      <w:rFonts w:eastAsiaTheme="majorEastAsia" w:cstheme="majorBidi"/>
      <w:color w:val="272727" w:themeColor="text1" w:themeTint="D8"/>
    </w:rPr>
  </w:style>
  <w:style w:type="paragraph" w:styleId="Title">
    <w:name w:val="Title"/>
    <w:basedOn w:val="Normal"/>
    <w:next w:val="Normal"/>
    <w:link w:val="TitleChar"/>
    <w:uiPriority w:val="10"/>
    <w:qFormat/>
    <w:rsid w:val="00EF45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5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5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5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5FA"/>
    <w:pPr>
      <w:spacing w:before="160"/>
      <w:jc w:val="center"/>
    </w:pPr>
    <w:rPr>
      <w:i/>
      <w:iCs/>
      <w:color w:val="404040" w:themeColor="text1" w:themeTint="BF"/>
    </w:rPr>
  </w:style>
  <w:style w:type="character" w:customStyle="1" w:styleId="QuoteChar">
    <w:name w:val="Quote Char"/>
    <w:basedOn w:val="DefaultParagraphFont"/>
    <w:link w:val="Quote"/>
    <w:uiPriority w:val="29"/>
    <w:rsid w:val="00EF45FA"/>
    <w:rPr>
      <w:i/>
      <w:iCs/>
      <w:color w:val="404040" w:themeColor="text1" w:themeTint="BF"/>
    </w:rPr>
  </w:style>
  <w:style w:type="paragraph" w:styleId="ListParagraph">
    <w:name w:val="List Paragraph"/>
    <w:basedOn w:val="Normal"/>
    <w:uiPriority w:val="34"/>
    <w:qFormat/>
    <w:rsid w:val="00EF45FA"/>
    <w:pPr>
      <w:ind w:left="720"/>
      <w:contextualSpacing/>
    </w:pPr>
  </w:style>
  <w:style w:type="character" w:styleId="IntenseEmphasis">
    <w:name w:val="Intense Emphasis"/>
    <w:basedOn w:val="DefaultParagraphFont"/>
    <w:uiPriority w:val="21"/>
    <w:qFormat/>
    <w:rsid w:val="00EF45FA"/>
    <w:rPr>
      <w:i/>
      <w:iCs/>
      <w:color w:val="2E74B5" w:themeColor="accent1" w:themeShade="BF"/>
    </w:rPr>
  </w:style>
  <w:style w:type="paragraph" w:styleId="IntenseQuote">
    <w:name w:val="Intense Quote"/>
    <w:basedOn w:val="Normal"/>
    <w:next w:val="Normal"/>
    <w:link w:val="IntenseQuoteChar"/>
    <w:uiPriority w:val="30"/>
    <w:qFormat/>
    <w:rsid w:val="00EF45F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F45FA"/>
    <w:rPr>
      <w:i/>
      <w:iCs/>
      <w:color w:val="2E74B5" w:themeColor="accent1" w:themeShade="BF"/>
    </w:rPr>
  </w:style>
  <w:style w:type="character" w:styleId="IntenseReference">
    <w:name w:val="Intense Reference"/>
    <w:basedOn w:val="DefaultParagraphFont"/>
    <w:uiPriority w:val="32"/>
    <w:qFormat/>
    <w:rsid w:val="00EF45FA"/>
    <w:rPr>
      <w:b/>
      <w:bCs/>
      <w:smallCaps/>
      <w:color w:val="2E74B5" w:themeColor="accent1" w:themeShade="BF"/>
      <w:spacing w:val="5"/>
    </w:rPr>
  </w:style>
  <w:style w:type="paragraph" w:styleId="Header">
    <w:name w:val="header"/>
    <w:basedOn w:val="Normal"/>
    <w:link w:val="HeaderChar"/>
    <w:uiPriority w:val="99"/>
    <w:unhideWhenUsed/>
    <w:rsid w:val="00EF45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45FA"/>
  </w:style>
  <w:style w:type="paragraph" w:styleId="Footer">
    <w:name w:val="footer"/>
    <w:basedOn w:val="Normal"/>
    <w:link w:val="FooterChar"/>
    <w:uiPriority w:val="99"/>
    <w:unhideWhenUsed/>
    <w:rsid w:val="00EF45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4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95a421d0-27b3-449e-8c05-1a68e9a472a6</TitusGUID>
  <TitusMetadata xmlns="">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</TitusMetadata>
</titus>
</file>

<file path=customXml/itemProps1.xml><?xml version="1.0" encoding="utf-8"?>
<ds:datastoreItem xmlns:ds="http://schemas.openxmlformats.org/officeDocument/2006/customXml" ds:itemID="{21F7641D-F2FF-4441-B628-7223E8507703}">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1174</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BAE Systems</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Durham, Bridget (UK)</dc:creator>
  <cp:keywords/>
  <dc:description/>
  <cp:lastModifiedBy>Jess Ashbridge</cp:lastModifiedBy>
  <cp:revision>2</cp:revision>
  <dcterms:created xsi:type="dcterms:W3CDTF">2025-10-16T13:36:00Z</dcterms:created>
  <dcterms:modified xsi:type="dcterms:W3CDTF">2025-10-16T13:36:00Z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95a421d0-27b3-449e-8c05-1a68e9a472a6</vt:lpwstr>
  </property>
  <property fmtid="{D5CDD505-2E9C-101B-9397-08002B2CF9AE}" pid="3" name="Originator">
    <vt:lpwstr>BAE Systems</vt:lpwstr>
  </property>
  <property fmtid="{D5CDD505-2E9C-101B-9397-08002B2CF9AE}" pid="4" name="urnbailsCompMarkingP1">
    <vt:lpwstr>NO COMPANY MARKING</vt:lpwstr>
  </property>
  <property fmtid="{D5CDD505-2E9C-101B-9397-08002B2CF9AE}" pid="5" name="urnbailsNATSECMarkingP1">
    <vt:lpwstr>NOT APPLICABLE</vt:lpwstr>
  </property>
  <property fmtid="{D5CDD505-2E9C-101B-9397-08002B2CF9AE}" pid="6" name="urnbailsExportControlMarkingP1">
    <vt:lpwstr>NO</vt:lpwstr>
  </property>
  <property fmtid="{D5CDD505-2E9C-101B-9397-08002B2CF9AE}" pid="7" name="urnbailsExportControlMarkingP2">
    <vt:lpwstr>NOT EXPORT CONTROLLED - UK / US / OTHER LOCAL</vt:lpwstr>
  </property>
  <property fmtid="{D5CDD505-2E9C-101B-9397-08002B2CF9AE}" pid="8" name="BaesClassificationComments">
    <vt:lpwstr/>
  </property>
  <property fmtid="{D5CDD505-2E9C-101B-9397-08002B2CF9AE}" pid="9" name="baesystemsmvmNATSECregion">
    <vt:lpwstr>UK</vt:lpwstr>
  </property>
</Properties>
</file>